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73025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96520</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64135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Lattice Semiconductor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73025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p>
      <w:pPr>
        <w:spacing w:after="0" w:line="350"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000-18032</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93-0835214</w:t>
      </w:r>
    </w:p>
    <w:p>
      <w:pPr>
        <w:spacing w:after="0" w:line="50" w:lineRule="exact"/>
        <w:rPr>
          <w:sz w:val="24"/>
          <w:szCs w:val="24"/>
          <w:color w:val="auto"/>
        </w:rPr>
      </w:pPr>
    </w:p>
    <w:p>
      <w:pPr>
        <w:sectPr>
          <w:pgSz w:w="11900" w:h="16838" w:orient="portrait"/>
          <w:cols w:equalWidth="0" w:num="3">
            <w:col w:w="4500" w:space="720"/>
            <w:col w:w="2980" w:space="720"/>
            <w:col w:w="2320"/>
          </w:cols>
          <w:pgMar w:left="320" w:top="857" w:right="3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00" w:space="720"/>
            <w:col w:w="2780" w:space="720"/>
            <w:col w:w="3120"/>
          </w:cols>
          <w:pgMar w:left="320" w:top="857" w:right="3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5555 NE Moore Court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Hillsboro, Oregon 97124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(503) 268-8000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1"/>
        </w:trPr>
        <w:tc>
          <w:tcPr>
            <w:tcW w:w="1340" w:type="dxa"/>
            <w:vAlign w:val="bottom"/>
          </w:tcPr>
          <w:p>
            <w:pPr>
              <w:spacing w:after="0"/>
              <w:rPr>
                <w:sz w:val="24"/>
                <w:szCs w:val="24"/>
                <w:color w:val="auto"/>
              </w:rPr>
            </w:pPr>
          </w:p>
        </w:tc>
        <w:tc>
          <w:tcPr>
            <w:tcW w:w="326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0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Trading Symbol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46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440" w:type="dxa"/>
            <w:vAlign w:val="bottom"/>
          </w:tcPr>
          <w:p>
            <w:pPr>
              <w:spacing w:after="0"/>
              <w:rPr>
                <w:sz w:val="24"/>
                <w:szCs w:val="24"/>
                <w:color w:val="auto"/>
              </w:rPr>
            </w:pPr>
          </w:p>
        </w:tc>
        <w:tc>
          <w:tcPr>
            <w:tcW w:w="264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LSCC</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Lattice Semiconductor Corporation (the “Company”) held its 2026 Annual Meeting of Stockholders (the “Annual Meeting”) on May 1, 2026. At the Annual Meeting, stockholders representing 95.75% of the outstanding shares of common stock of the Company as of March 2, 2026, the record date for the Annual Meeting, were present in person or by proxy. The final results of voting for each matter submitted to a vote of stockholders at the Annual Meeting are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Election of Directors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is currently comprised of nine members. Each of the nine nominees for director was elected for a term of one year, and the voting results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Ford Tamer</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125,888,540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852,895</w:t>
            </w:r>
          </w:p>
        </w:tc>
        <w:tc>
          <w:tcPr>
            <w:tcW w:w="20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46,143</w:t>
            </w:r>
          </w:p>
        </w:tc>
        <w:tc>
          <w:tcPr>
            <w:tcW w:w="24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4,266,974</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Douglas Bettinger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126,485,076</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269,405</w:t>
            </w:r>
          </w:p>
        </w:tc>
        <w:tc>
          <w:tcPr>
            <w:tcW w:w="2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33,097</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4,266,974</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Que Thanh Dallara</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126,431,770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312,571</w:t>
            </w:r>
          </w:p>
        </w:tc>
        <w:tc>
          <w:tcPr>
            <w:tcW w:w="20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43,237</w:t>
            </w:r>
          </w:p>
        </w:tc>
        <w:tc>
          <w:tcPr>
            <w:tcW w:w="24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4,266,974</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John Forsyth</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124,993,664</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1,731,326</w:t>
            </w:r>
          </w:p>
        </w:tc>
        <w:tc>
          <w:tcPr>
            <w:tcW w:w="2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62,588</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4,266,974</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Jensen</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125,680,350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1,060,995</w:t>
            </w:r>
          </w:p>
        </w:tc>
        <w:tc>
          <w:tcPr>
            <w:tcW w:w="20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46,233</w:t>
            </w:r>
          </w:p>
        </w:tc>
        <w:tc>
          <w:tcPr>
            <w:tcW w:w="24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4,266,974</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James Lederer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125,016,126</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1,738,171</w:t>
            </w:r>
          </w:p>
        </w:tc>
        <w:tc>
          <w:tcPr>
            <w:tcW w:w="2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33,281</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4,266,974</w:t>
            </w: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 Jeffrey Richardson</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124,855,868</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1,867,348</w:t>
            </w:r>
          </w:p>
        </w:tc>
        <w:tc>
          <w:tcPr>
            <w:tcW w:w="20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64,362</w:t>
            </w:r>
          </w:p>
        </w:tc>
        <w:tc>
          <w:tcPr>
            <w:tcW w:w="24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4,266,974</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Elizabeth Schwarting</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124,186,035</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2,549,035</w:t>
            </w:r>
          </w:p>
        </w:tc>
        <w:tc>
          <w:tcPr>
            <w:tcW w:w="20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52,508</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4,266,974</w:t>
            </w:r>
          </w:p>
        </w:tc>
      </w:tr>
    </w:tbl>
    <w:p>
      <w:pPr>
        <w:spacing w:after="0" w:line="3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Ratification of the appointment of Ernst &amp; Young LLP as our independent registered public accounting firm for the fiscal year ending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2, 2027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appointment of Ernst &amp; Young was ratified, and the voting results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382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130,999,058</w:t>
            </w:r>
          </w:p>
        </w:tc>
        <w:tc>
          <w:tcPr>
            <w:tcW w:w="366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22,246</w:t>
            </w:r>
          </w:p>
        </w:tc>
        <w:tc>
          <w:tcPr>
            <w:tcW w:w="376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rPr>
              <w:t>33,248</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Advisory Vote to Approve Named Executive Officer Compensation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advisory vote to approve the executive compensation of the Company’s named executive officers was approved, and the voting results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0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84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109,648,436</w:t>
            </w:r>
          </w:p>
        </w:tc>
        <w:tc>
          <w:tcPr>
            <w:tcW w:w="284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17,085,608</w:t>
            </w:r>
          </w:p>
        </w:tc>
        <w:tc>
          <w:tcPr>
            <w:tcW w:w="25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53,534</w:t>
            </w:r>
          </w:p>
        </w:tc>
        <w:tc>
          <w:tcPr>
            <w:tcW w:w="300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4,266,974</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furnished herewith:</w:t>
      </w:r>
    </w:p>
    <w:p>
      <w:pPr>
        <w:spacing w:after="0" w:line="22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54"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10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tc>
      </w:tr>
      <w:tr>
        <w:trPr>
          <w:trHeight w:val="560"/>
        </w:trPr>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1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By:</w:t>
            </w:r>
          </w:p>
        </w:tc>
      </w:tr>
      <w:tr>
        <w:trPr>
          <w:trHeight w:val="225"/>
        </w:trPr>
        <w:tc>
          <w:tcPr>
            <w:tcW w:w="5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Tracy Feanny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5, 2026</w:t>
            </w:r>
          </w:p>
        </w:tc>
        <w:tc>
          <w:tcPr>
            <w:tcW w:w="182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2026-05-05T16:30:28Z</dcterms:created>
  <dcterms:modified xsi:type="dcterms:W3CDTF">2026-05-05T16:30:28Z</dcterms:modified>
</cp:coreProperties>
</file>